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7" w:rsidRDefault="007A3837" w:rsidP="007A3837">
      <w:pPr>
        <w:rPr>
          <w:rFonts w:ascii="HG丸ｺﾞｼｯｸM-PRO" w:eastAsia="HG丸ｺﾞｼｯｸM-PRO" w:hAnsi="HG丸ｺﾞｼｯｸM-PRO"/>
          <w:szCs w:val="21"/>
        </w:rPr>
      </w:pPr>
    </w:p>
    <w:p w:rsidR="00816DCE" w:rsidRPr="00DA3780" w:rsidRDefault="00816DCE" w:rsidP="007A3837">
      <w:pPr>
        <w:rPr>
          <w:rFonts w:ascii="HG丸ｺﾞｼｯｸM-PRO" w:eastAsia="HG丸ｺﾞｼｯｸM-PRO" w:hAnsi="HG丸ｺﾞｼｯｸM-PRO"/>
          <w:sz w:val="22"/>
        </w:rPr>
      </w:pPr>
    </w:p>
    <w:p w:rsidR="00135420" w:rsidRPr="000A6F2C" w:rsidRDefault="00135420" w:rsidP="00135420">
      <w:pPr>
        <w:jc w:val="center"/>
        <w:rPr>
          <w:rFonts w:asciiTheme="majorEastAsia" w:eastAsiaTheme="majorEastAsia" w:hAnsiTheme="majorEastAsia"/>
          <w:sz w:val="32"/>
          <w:szCs w:val="24"/>
        </w:rPr>
      </w:pPr>
      <w:r w:rsidRPr="000A6F2C">
        <w:rPr>
          <w:rFonts w:asciiTheme="majorEastAsia" w:eastAsiaTheme="majorEastAsia" w:hAnsiTheme="majorEastAsia" w:hint="eastAsia"/>
          <w:sz w:val="32"/>
          <w:szCs w:val="24"/>
        </w:rPr>
        <w:t>働き方改革関連法に関する説明会のご案内</w:t>
      </w:r>
    </w:p>
    <w:p w:rsidR="00D557BB" w:rsidRPr="000A6F2C" w:rsidRDefault="00D557BB" w:rsidP="007A3837">
      <w:pPr>
        <w:rPr>
          <w:rFonts w:asciiTheme="minorEastAsia" w:hAnsiTheme="minorEastAsia"/>
          <w:sz w:val="22"/>
        </w:rPr>
      </w:pPr>
    </w:p>
    <w:p w:rsidR="00BB2980" w:rsidRDefault="00BB2980" w:rsidP="00BB2980">
      <w:pPr>
        <w:snapToGrid w:val="0"/>
        <w:spacing w:line="320" w:lineRule="exact"/>
        <w:ind w:firstLineChars="100" w:firstLine="257"/>
        <w:rPr>
          <w:rFonts w:asciiTheme="minorEastAsia" w:hAnsiTheme="minorEastAsia"/>
          <w:sz w:val="24"/>
        </w:rPr>
      </w:pPr>
      <w:r>
        <w:rPr>
          <w:rFonts w:asciiTheme="minorEastAsia" w:hAnsiTheme="minorEastAsia" w:hint="eastAsia"/>
          <w:sz w:val="24"/>
        </w:rPr>
        <w:t>「</w:t>
      </w:r>
      <w:r w:rsidR="00B50C7D" w:rsidRPr="00BB2980">
        <w:rPr>
          <w:rFonts w:asciiTheme="minorEastAsia" w:hAnsiTheme="minorEastAsia" w:hint="eastAsia"/>
          <w:sz w:val="24"/>
        </w:rPr>
        <w:t>働き方改革</w:t>
      </w:r>
      <w:r>
        <w:rPr>
          <w:rFonts w:asciiTheme="minorEastAsia" w:hAnsiTheme="minorEastAsia" w:hint="eastAsia"/>
          <w:sz w:val="24"/>
        </w:rPr>
        <w:t>」について</w:t>
      </w:r>
      <w:r w:rsidR="002F01FF">
        <w:rPr>
          <w:rFonts w:asciiTheme="minorEastAsia" w:hAnsiTheme="minorEastAsia" w:hint="eastAsia"/>
          <w:sz w:val="24"/>
        </w:rPr>
        <w:t>は</w:t>
      </w:r>
      <w:r>
        <w:rPr>
          <w:rFonts w:asciiTheme="minorEastAsia" w:hAnsiTheme="minorEastAsia" w:hint="eastAsia"/>
          <w:sz w:val="24"/>
        </w:rPr>
        <w:t>、昨今、社会の大きな潮流としてその実現に向けた取組みが各方面で行われているところであり、</w:t>
      </w:r>
      <w:r w:rsidR="00B50C7D" w:rsidRPr="00BB2980">
        <w:rPr>
          <w:rFonts w:asciiTheme="minorEastAsia" w:hAnsiTheme="minorEastAsia" w:hint="eastAsia"/>
          <w:sz w:val="24"/>
        </w:rPr>
        <w:t>2019年</w:t>
      </w:r>
      <w:r w:rsidR="000A6F2C" w:rsidRPr="00BB2980">
        <w:rPr>
          <w:rFonts w:asciiTheme="minorEastAsia" w:hAnsiTheme="minorEastAsia" w:hint="eastAsia"/>
          <w:sz w:val="24"/>
        </w:rPr>
        <w:t>４</w:t>
      </w:r>
      <w:r w:rsidR="00B50C7D" w:rsidRPr="00BB2980">
        <w:rPr>
          <w:rFonts w:asciiTheme="minorEastAsia" w:hAnsiTheme="minorEastAsia" w:hint="eastAsia"/>
          <w:sz w:val="24"/>
        </w:rPr>
        <w:t>月</w:t>
      </w:r>
      <w:r w:rsidR="000A6F2C" w:rsidRPr="00BB2980">
        <w:rPr>
          <w:rFonts w:asciiTheme="minorEastAsia" w:hAnsiTheme="minorEastAsia" w:hint="eastAsia"/>
          <w:sz w:val="24"/>
        </w:rPr>
        <w:t>１</w:t>
      </w:r>
      <w:r>
        <w:rPr>
          <w:rFonts w:asciiTheme="minorEastAsia" w:hAnsiTheme="minorEastAsia" w:hint="eastAsia"/>
          <w:sz w:val="24"/>
        </w:rPr>
        <w:t>日から「働き方改革関連法」が順次施行されますが、</w:t>
      </w:r>
      <w:r w:rsidR="00B50C7D" w:rsidRPr="00BB2980">
        <w:rPr>
          <w:rFonts w:asciiTheme="minorEastAsia" w:hAnsiTheme="minorEastAsia" w:hint="eastAsia"/>
          <w:sz w:val="24"/>
        </w:rPr>
        <w:t>これらについて、都道府県労働局、労働基準監督署の職員による説明会を開催いたします。</w:t>
      </w:r>
    </w:p>
    <w:p w:rsidR="00BB2980" w:rsidRDefault="00BB2980" w:rsidP="00BB2980">
      <w:pPr>
        <w:snapToGrid w:val="0"/>
        <w:spacing w:line="320" w:lineRule="exact"/>
        <w:ind w:firstLineChars="100" w:firstLine="257"/>
        <w:rPr>
          <w:rFonts w:asciiTheme="minorEastAsia" w:hAnsiTheme="minorEastAsia"/>
          <w:sz w:val="24"/>
        </w:rPr>
      </w:pPr>
    </w:p>
    <w:p w:rsidR="00B50C7D" w:rsidRPr="00BB2980" w:rsidRDefault="00CD0B77" w:rsidP="00BB2980">
      <w:pPr>
        <w:spacing w:line="320" w:lineRule="exact"/>
        <w:ind w:firstLineChars="100" w:firstLine="257"/>
        <w:rPr>
          <w:rFonts w:asciiTheme="minorEastAsia" w:hAnsiTheme="minorEastAsia"/>
          <w:sz w:val="24"/>
        </w:rPr>
      </w:pPr>
      <w:r w:rsidRPr="00BB2980">
        <w:rPr>
          <w:rFonts w:asciiTheme="minorEastAsia" w:hAnsiTheme="minorEastAsia" w:hint="eastAsia"/>
          <w:sz w:val="24"/>
        </w:rPr>
        <w:t>なお、説明会の開催・運営は、厚生労働省委託会社　株式会社東京リーガルマインドが行います。説明会に関するお問合せに関しては、委託会社へお願いいたします。</w:t>
      </w:r>
    </w:p>
    <w:p w:rsidR="00CD0B77" w:rsidRPr="00BB2980" w:rsidRDefault="00CD0B77" w:rsidP="007A3837">
      <w:pPr>
        <w:rPr>
          <w:rFonts w:asciiTheme="minorEastAsia" w:hAnsiTheme="minorEastAsia"/>
          <w:sz w:val="24"/>
        </w:rPr>
      </w:pPr>
    </w:p>
    <w:p w:rsidR="00CD0B77" w:rsidRPr="00BB2980" w:rsidRDefault="00CD0B77" w:rsidP="007A3837">
      <w:pPr>
        <w:rPr>
          <w:rFonts w:asciiTheme="minorEastAsia" w:hAnsiTheme="minorEastAsia"/>
          <w:sz w:val="24"/>
        </w:rPr>
      </w:pPr>
    </w:p>
    <w:p w:rsidR="00B50C7D" w:rsidRPr="00BB2980" w:rsidRDefault="00CD0B77" w:rsidP="006B3420">
      <w:pPr>
        <w:snapToGrid w:val="0"/>
        <w:rPr>
          <w:rFonts w:asciiTheme="minorEastAsia" w:hAnsiTheme="minorEastAsia"/>
          <w:sz w:val="24"/>
        </w:rPr>
      </w:pPr>
      <w:r w:rsidRPr="00BB2980">
        <w:rPr>
          <w:rFonts w:asciiTheme="minorEastAsia" w:hAnsiTheme="minorEastAsia" w:hint="eastAsia"/>
          <w:sz w:val="24"/>
        </w:rPr>
        <w:t>【実施期間】</w:t>
      </w:r>
      <w:r w:rsidR="00BB2980">
        <w:rPr>
          <w:rFonts w:asciiTheme="minorEastAsia" w:hAnsiTheme="minorEastAsia" w:hint="eastAsia"/>
          <w:sz w:val="24"/>
        </w:rPr>
        <w:t xml:space="preserve">　</w:t>
      </w:r>
      <w:r w:rsidR="000A6F2C" w:rsidRPr="00BB2980">
        <w:rPr>
          <w:rFonts w:asciiTheme="minorEastAsia" w:hAnsiTheme="minorEastAsia" w:hint="eastAsia"/>
          <w:sz w:val="24"/>
        </w:rPr>
        <w:t>2019</w:t>
      </w:r>
      <w:r w:rsidR="00B50C7D" w:rsidRPr="00BB2980">
        <w:rPr>
          <w:rFonts w:asciiTheme="minorEastAsia" w:hAnsiTheme="minorEastAsia" w:hint="eastAsia"/>
          <w:sz w:val="24"/>
        </w:rPr>
        <w:t>年</w:t>
      </w:r>
      <w:r w:rsidR="000A6F2C" w:rsidRPr="00BB2980">
        <w:rPr>
          <w:rFonts w:asciiTheme="minorEastAsia" w:hAnsiTheme="minorEastAsia" w:hint="eastAsia"/>
          <w:sz w:val="24"/>
        </w:rPr>
        <w:t>１</w:t>
      </w:r>
      <w:r w:rsidR="00B50C7D" w:rsidRPr="00BB2980">
        <w:rPr>
          <w:rFonts w:asciiTheme="minorEastAsia" w:hAnsiTheme="minorEastAsia" w:hint="eastAsia"/>
          <w:sz w:val="24"/>
        </w:rPr>
        <w:t>月から</w:t>
      </w:r>
      <w:r w:rsidR="000A6F2C" w:rsidRPr="00BB2980">
        <w:rPr>
          <w:rFonts w:asciiTheme="minorEastAsia" w:hAnsiTheme="minorEastAsia" w:hint="eastAsia"/>
          <w:sz w:val="24"/>
        </w:rPr>
        <w:t>３</w:t>
      </w:r>
      <w:r w:rsidR="00B50C7D" w:rsidRPr="00BB2980">
        <w:rPr>
          <w:rFonts w:asciiTheme="minorEastAsia" w:hAnsiTheme="minorEastAsia" w:hint="eastAsia"/>
          <w:sz w:val="24"/>
        </w:rPr>
        <w:t>月まで</w:t>
      </w:r>
    </w:p>
    <w:p w:rsidR="00B50C7D" w:rsidRPr="00BB2980" w:rsidRDefault="00B50C7D" w:rsidP="006B3420">
      <w:pPr>
        <w:snapToGrid w:val="0"/>
        <w:rPr>
          <w:rFonts w:asciiTheme="minorEastAsia" w:hAnsiTheme="minorEastAsia"/>
          <w:sz w:val="24"/>
        </w:rPr>
      </w:pPr>
      <w:r w:rsidRPr="00BB2980">
        <w:rPr>
          <w:rFonts w:asciiTheme="minorEastAsia" w:hAnsiTheme="minorEastAsia" w:hint="eastAsia"/>
          <w:sz w:val="24"/>
        </w:rPr>
        <w:t xml:space="preserve">　　　　　　　＊各地での開催日時詳細は、下記特設申込サイトにてご紹介しております。</w:t>
      </w:r>
    </w:p>
    <w:p w:rsidR="006B3420" w:rsidRPr="00BB2980" w:rsidRDefault="006B3420" w:rsidP="006B3420">
      <w:pPr>
        <w:snapToGrid w:val="0"/>
        <w:rPr>
          <w:rFonts w:asciiTheme="minorEastAsia" w:hAnsiTheme="minorEastAsia"/>
          <w:sz w:val="24"/>
        </w:rPr>
      </w:pPr>
    </w:p>
    <w:p w:rsidR="006B3420" w:rsidRPr="00BB2980" w:rsidRDefault="006B3420" w:rsidP="006B3420">
      <w:pPr>
        <w:snapToGrid w:val="0"/>
        <w:rPr>
          <w:rFonts w:asciiTheme="minorEastAsia" w:hAnsiTheme="minorEastAsia"/>
          <w:sz w:val="24"/>
        </w:rPr>
      </w:pPr>
    </w:p>
    <w:p w:rsidR="008926A2" w:rsidRPr="00BB2980" w:rsidRDefault="00CD0B77" w:rsidP="006B3420">
      <w:pPr>
        <w:snapToGrid w:val="0"/>
        <w:rPr>
          <w:rFonts w:asciiTheme="minorEastAsia" w:hAnsiTheme="minorEastAsia"/>
          <w:sz w:val="24"/>
        </w:rPr>
      </w:pPr>
      <w:r w:rsidRPr="00BB2980">
        <w:rPr>
          <w:rFonts w:asciiTheme="minorEastAsia" w:hAnsiTheme="minorEastAsia" w:hint="eastAsia"/>
          <w:sz w:val="24"/>
        </w:rPr>
        <w:t>【内容詳細】</w:t>
      </w:r>
      <w:r w:rsidR="008926A2" w:rsidRPr="00BB2980">
        <w:rPr>
          <w:rFonts w:asciiTheme="minorEastAsia" w:hAnsiTheme="minorEastAsia" w:hint="eastAsia"/>
          <w:sz w:val="24"/>
        </w:rPr>
        <w:t xml:space="preserve">　　第</w:t>
      </w:r>
      <w:r w:rsidR="000A6F2C" w:rsidRPr="00BB2980">
        <w:rPr>
          <w:rFonts w:asciiTheme="minorEastAsia" w:hAnsiTheme="minorEastAsia" w:hint="eastAsia"/>
          <w:sz w:val="24"/>
        </w:rPr>
        <w:t>１</w:t>
      </w:r>
      <w:r w:rsidR="008926A2" w:rsidRPr="00BB2980">
        <w:rPr>
          <w:rFonts w:asciiTheme="minorEastAsia" w:hAnsiTheme="minorEastAsia" w:hint="eastAsia"/>
          <w:sz w:val="24"/>
        </w:rPr>
        <w:t xml:space="preserve">章　「働き方」が変わります　</w:t>
      </w:r>
    </w:p>
    <w:p w:rsidR="00816DCE" w:rsidRPr="00BB2980" w:rsidRDefault="00816DCE" w:rsidP="006B3420">
      <w:pPr>
        <w:snapToGrid w:val="0"/>
        <w:ind w:firstLineChars="1300" w:firstLine="3338"/>
        <w:rPr>
          <w:rFonts w:asciiTheme="minorEastAsia" w:hAnsiTheme="minorEastAsia"/>
          <w:sz w:val="24"/>
        </w:rPr>
      </w:pPr>
      <w:r w:rsidRPr="00BB2980">
        <w:rPr>
          <w:rFonts w:asciiTheme="minorEastAsia" w:hAnsiTheme="minorEastAsia" w:hint="eastAsia"/>
          <w:sz w:val="24"/>
        </w:rPr>
        <w:t>・働き方改革の目指すもの</w:t>
      </w:r>
    </w:p>
    <w:p w:rsidR="00B50C7D" w:rsidRPr="00BB2980" w:rsidRDefault="00816DCE" w:rsidP="006B3420">
      <w:pPr>
        <w:snapToGrid w:val="0"/>
        <w:ind w:firstLineChars="1300" w:firstLine="3338"/>
        <w:rPr>
          <w:rFonts w:asciiTheme="minorEastAsia" w:hAnsiTheme="minorEastAsia"/>
          <w:sz w:val="24"/>
        </w:rPr>
      </w:pPr>
      <w:r w:rsidRPr="00BB2980">
        <w:rPr>
          <w:rFonts w:asciiTheme="minorEastAsia" w:hAnsiTheme="minorEastAsia" w:hint="eastAsia"/>
          <w:sz w:val="24"/>
        </w:rPr>
        <w:t>・働き方改革の全体像</w:t>
      </w:r>
    </w:p>
    <w:p w:rsidR="00816DCE" w:rsidRPr="00BB2980" w:rsidRDefault="00816DCE" w:rsidP="006B3420">
      <w:pPr>
        <w:snapToGrid w:val="0"/>
        <w:ind w:firstLineChars="1300" w:firstLine="3338"/>
        <w:rPr>
          <w:rFonts w:asciiTheme="minorEastAsia" w:hAnsiTheme="minorEastAsia"/>
          <w:sz w:val="24"/>
        </w:rPr>
      </w:pPr>
      <w:r w:rsidRPr="00BB2980">
        <w:rPr>
          <w:rFonts w:asciiTheme="minorEastAsia" w:hAnsiTheme="minorEastAsia" w:hint="eastAsia"/>
          <w:sz w:val="24"/>
        </w:rPr>
        <w:t>・働き方改革関連法の全体像</w:t>
      </w:r>
    </w:p>
    <w:p w:rsidR="008926A2" w:rsidRPr="00BB2980" w:rsidRDefault="008926A2" w:rsidP="006B3420">
      <w:pPr>
        <w:snapToGrid w:val="0"/>
        <w:rPr>
          <w:rFonts w:asciiTheme="minorEastAsia" w:hAnsiTheme="minorEastAsia"/>
          <w:sz w:val="24"/>
        </w:rPr>
      </w:pPr>
      <w:r w:rsidRPr="00BB2980">
        <w:rPr>
          <w:rFonts w:asciiTheme="minorEastAsia" w:hAnsiTheme="minorEastAsia" w:hint="eastAsia"/>
          <w:sz w:val="24"/>
        </w:rPr>
        <w:t xml:space="preserve">　　　　　　　　第</w:t>
      </w:r>
      <w:r w:rsidR="000A6F2C" w:rsidRPr="00BB2980">
        <w:rPr>
          <w:rFonts w:asciiTheme="minorEastAsia" w:hAnsiTheme="minorEastAsia" w:hint="eastAsia"/>
          <w:sz w:val="24"/>
        </w:rPr>
        <w:t>２</w:t>
      </w:r>
      <w:r w:rsidR="00816DCE" w:rsidRPr="00BB2980">
        <w:rPr>
          <w:rFonts w:asciiTheme="minorEastAsia" w:hAnsiTheme="minorEastAsia" w:hint="eastAsia"/>
          <w:sz w:val="24"/>
        </w:rPr>
        <w:t>章　労働時間法制の見直しについて</w:t>
      </w:r>
      <w:bookmarkStart w:id="0" w:name="_GoBack"/>
      <w:bookmarkEnd w:id="0"/>
    </w:p>
    <w:p w:rsidR="00816DCE" w:rsidRPr="00BB2980" w:rsidRDefault="00816DCE" w:rsidP="006B3420">
      <w:pPr>
        <w:snapToGrid w:val="0"/>
        <w:rPr>
          <w:rFonts w:asciiTheme="minorEastAsia" w:hAnsiTheme="minorEastAsia"/>
          <w:sz w:val="24"/>
        </w:rPr>
      </w:pPr>
      <w:r w:rsidRPr="00BB2980">
        <w:rPr>
          <w:rFonts w:asciiTheme="minorEastAsia" w:hAnsiTheme="minorEastAsia" w:hint="eastAsia"/>
          <w:sz w:val="24"/>
        </w:rPr>
        <w:t xml:space="preserve">　　　　　　　　　　　　　・時間外労働の上限規制</w:t>
      </w:r>
    </w:p>
    <w:p w:rsidR="00816DCE" w:rsidRPr="00BB2980" w:rsidRDefault="00816DCE" w:rsidP="006B3420">
      <w:pPr>
        <w:snapToGrid w:val="0"/>
        <w:rPr>
          <w:rFonts w:asciiTheme="minorEastAsia" w:hAnsiTheme="minorEastAsia"/>
          <w:sz w:val="24"/>
        </w:rPr>
      </w:pPr>
      <w:r w:rsidRPr="00BB2980">
        <w:rPr>
          <w:rFonts w:asciiTheme="minorEastAsia" w:hAnsiTheme="minorEastAsia" w:hint="eastAsia"/>
          <w:sz w:val="24"/>
        </w:rPr>
        <w:t xml:space="preserve">　　　　　　　　　　　　　・36協定届の新しい様式</w:t>
      </w:r>
    </w:p>
    <w:p w:rsidR="00816DCE" w:rsidRPr="00BB2980" w:rsidRDefault="00816DCE" w:rsidP="006B3420">
      <w:pPr>
        <w:snapToGrid w:val="0"/>
        <w:rPr>
          <w:rFonts w:asciiTheme="minorEastAsia" w:hAnsiTheme="minorEastAsia"/>
          <w:sz w:val="24"/>
        </w:rPr>
      </w:pPr>
      <w:r w:rsidRPr="00BB2980">
        <w:rPr>
          <w:rFonts w:asciiTheme="minorEastAsia" w:hAnsiTheme="minorEastAsia" w:hint="eastAsia"/>
          <w:sz w:val="24"/>
        </w:rPr>
        <w:t xml:space="preserve">　　　　　　　　　　　　　・年次有給休暇の取得義務化</w:t>
      </w:r>
    </w:p>
    <w:p w:rsidR="000A6F2C" w:rsidRPr="00BB2980" w:rsidRDefault="00816DCE" w:rsidP="006B3420">
      <w:pPr>
        <w:snapToGrid w:val="0"/>
        <w:rPr>
          <w:rFonts w:asciiTheme="minorEastAsia" w:hAnsiTheme="minorEastAsia"/>
          <w:sz w:val="24"/>
        </w:rPr>
      </w:pPr>
      <w:r w:rsidRPr="00BB2980">
        <w:rPr>
          <w:rFonts w:asciiTheme="minorEastAsia" w:hAnsiTheme="minorEastAsia" w:hint="eastAsia"/>
          <w:sz w:val="24"/>
        </w:rPr>
        <w:t xml:space="preserve">　　　　　　　　　　　　　・中小企業に対する月60時間超の時間外労働に対する</w:t>
      </w:r>
    </w:p>
    <w:p w:rsidR="00816DCE" w:rsidRPr="00BB2980" w:rsidRDefault="00816DCE" w:rsidP="000A6F2C">
      <w:pPr>
        <w:snapToGrid w:val="0"/>
        <w:ind w:firstLineChars="1400" w:firstLine="3595"/>
        <w:rPr>
          <w:rFonts w:asciiTheme="minorEastAsia" w:hAnsiTheme="minorEastAsia"/>
          <w:sz w:val="24"/>
        </w:rPr>
      </w:pPr>
      <w:r w:rsidRPr="00BB2980">
        <w:rPr>
          <w:rFonts w:asciiTheme="minorEastAsia" w:hAnsiTheme="minorEastAsia" w:hint="eastAsia"/>
          <w:sz w:val="24"/>
        </w:rPr>
        <w:t>割増賃金</w:t>
      </w:r>
      <w:r w:rsidR="00CD0B77" w:rsidRPr="00BB2980">
        <w:rPr>
          <w:rFonts w:asciiTheme="minorEastAsia" w:hAnsiTheme="minorEastAsia" w:hint="eastAsia"/>
          <w:sz w:val="24"/>
        </w:rPr>
        <w:t>の適用猶予見直し</w:t>
      </w:r>
    </w:p>
    <w:p w:rsidR="00CD0B77" w:rsidRPr="00BB2980" w:rsidRDefault="00CD0B77" w:rsidP="00CD0B77">
      <w:pPr>
        <w:snapToGrid w:val="0"/>
        <w:rPr>
          <w:rFonts w:asciiTheme="minorEastAsia" w:hAnsiTheme="minorEastAsia"/>
          <w:sz w:val="24"/>
        </w:rPr>
      </w:pPr>
      <w:r w:rsidRPr="00BB2980">
        <w:rPr>
          <w:rFonts w:asciiTheme="minorEastAsia" w:hAnsiTheme="minorEastAsia" w:hint="eastAsia"/>
          <w:sz w:val="24"/>
        </w:rPr>
        <w:t xml:space="preserve">　　　　　　　　　　　　　・産業医・産業保健機能の強化</w:t>
      </w:r>
    </w:p>
    <w:p w:rsidR="008926A2" w:rsidRPr="00BB2980" w:rsidRDefault="008926A2" w:rsidP="006B3420">
      <w:pPr>
        <w:snapToGrid w:val="0"/>
        <w:rPr>
          <w:rFonts w:asciiTheme="minorEastAsia" w:hAnsiTheme="minorEastAsia"/>
          <w:sz w:val="24"/>
        </w:rPr>
      </w:pPr>
      <w:r w:rsidRPr="00BB2980">
        <w:rPr>
          <w:rFonts w:asciiTheme="minorEastAsia" w:hAnsiTheme="minorEastAsia" w:hint="eastAsia"/>
          <w:sz w:val="24"/>
        </w:rPr>
        <w:t xml:space="preserve">　　　　　　　　第</w:t>
      </w:r>
      <w:r w:rsidR="000A6F2C" w:rsidRPr="00BB2980">
        <w:rPr>
          <w:rFonts w:asciiTheme="minorEastAsia" w:hAnsiTheme="minorEastAsia" w:hint="eastAsia"/>
          <w:sz w:val="24"/>
        </w:rPr>
        <w:t>３</w:t>
      </w:r>
      <w:r w:rsidRPr="00BB2980">
        <w:rPr>
          <w:rFonts w:asciiTheme="minorEastAsia" w:hAnsiTheme="minorEastAsia" w:hint="eastAsia"/>
          <w:sz w:val="24"/>
        </w:rPr>
        <w:t>章　働き方改革推進に向けた支援</w:t>
      </w:r>
    </w:p>
    <w:p w:rsidR="008926A2" w:rsidRPr="00BB2980" w:rsidRDefault="00CD0B77" w:rsidP="006B3420">
      <w:pPr>
        <w:snapToGrid w:val="0"/>
        <w:rPr>
          <w:rFonts w:asciiTheme="minorEastAsia" w:hAnsiTheme="minorEastAsia"/>
          <w:sz w:val="24"/>
        </w:rPr>
      </w:pPr>
      <w:r w:rsidRPr="00BB2980">
        <w:rPr>
          <w:rFonts w:asciiTheme="minorEastAsia" w:hAnsiTheme="minorEastAsia" w:hint="eastAsia"/>
          <w:sz w:val="24"/>
        </w:rPr>
        <w:t xml:space="preserve">　　　　　　　　　　　　　・助成金、相談窓口</w:t>
      </w:r>
      <w:r w:rsidR="000A6F2C" w:rsidRPr="00BB2980">
        <w:rPr>
          <w:rFonts w:asciiTheme="minorEastAsia" w:hAnsiTheme="minorEastAsia" w:hint="eastAsia"/>
          <w:sz w:val="24"/>
        </w:rPr>
        <w:t xml:space="preserve">　　　　　　　　　　　　　　　　等</w:t>
      </w:r>
    </w:p>
    <w:p w:rsidR="008926A2" w:rsidRPr="000A6F2C" w:rsidRDefault="008926A2" w:rsidP="007A3837">
      <w:pPr>
        <w:rPr>
          <w:rFonts w:asciiTheme="minorEastAsia" w:hAnsiTheme="minorEastAsia"/>
          <w:sz w:val="22"/>
        </w:rPr>
      </w:pPr>
    </w:p>
    <w:p w:rsidR="001E2A48" w:rsidRPr="00BB2980" w:rsidRDefault="00A85069" w:rsidP="00A86D83">
      <w:pPr>
        <w:snapToGrid w:val="0"/>
        <w:rPr>
          <w:rFonts w:asciiTheme="minorEastAsia" w:hAnsiTheme="minorEastAsia"/>
          <w:sz w:val="24"/>
        </w:rPr>
      </w:pPr>
      <w:r w:rsidRPr="00A85069">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5.25pt;margin-top:9.75pt;width:6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" filled="f" stroked="f">
            <v:path arrowok="t"/>
            <v:textbox>
              <w:txbxContent>
                <w:p w:rsidR="009A10EF" w:rsidRDefault="009A10EF" w:rsidP="000A6F2C">
                  <w:pPr>
                    <w:pStyle w:val="Web"/>
                    <w:spacing w:before="0" w:beforeAutospacing="0" w:after="0" w:afterAutospacing="0"/>
                  </w:pPr>
                </w:p>
              </w:txbxContent>
            </v:textbox>
          </v:shape>
        </w:pict>
      </w:r>
      <w:r w:rsidR="00393DA4" w:rsidRPr="00BB2980">
        <w:rPr>
          <w:rFonts w:asciiTheme="minorEastAsia" w:hAnsiTheme="minorEastAsia" w:hint="eastAsia"/>
          <w:sz w:val="24"/>
        </w:rPr>
        <w:t>【</w:t>
      </w:r>
      <w:r w:rsidR="001E2A48" w:rsidRPr="00BB2980">
        <w:rPr>
          <w:rFonts w:asciiTheme="minorEastAsia" w:hAnsiTheme="minorEastAsia" w:hint="eastAsia"/>
          <w:sz w:val="24"/>
        </w:rPr>
        <w:t>申込み</w:t>
      </w:r>
      <w:r w:rsidR="00DF14D2" w:rsidRPr="00BB2980">
        <w:rPr>
          <w:rFonts w:asciiTheme="minorEastAsia" w:hAnsiTheme="minorEastAsia" w:hint="eastAsia"/>
          <w:sz w:val="24"/>
        </w:rPr>
        <w:t>方法】</w:t>
      </w:r>
    </w:p>
    <w:p w:rsidR="00DF14D2" w:rsidRPr="00BB2980" w:rsidRDefault="00393DA4" w:rsidP="00A86D83">
      <w:pPr>
        <w:snapToGrid w:val="0"/>
        <w:ind w:leftChars="100" w:left="227"/>
        <w:rPr>
          <w:rFonts w:asciiTheme="minorEastAsia" w:hAnsiTheme="minorEastAsia"/>
          <w:sz w:val="24"/>
        </w:rPr>
      </w:pPr>
      <w:r w:rsidRPr="00BB2980">
        <w:rPr>
          <w:rFonts w:asciiTheme="minorEastAsia" w:hAnsiTheme="minorEastAsia" w:hint="eastAsia"/>
          <w:sz w:val="24"/>
        </w:rPr>
        <w:t xml:space="preserve">　下記URLまたはQRコード</w:t>
      </w:r>
      <w:r w:rsidR="003C068A" w:rsidRPr="00BB2980">
        <w:rPr>
          <w:rFonts w:asciiTheme="minorEastAsia" w:hAnsiTheme="minorEastAsia" w:hint="eastAsia"/>
          <w:sz w:val="24"/>
        </w:rPr>
        <w:t>から特設ページに</w:t>
      </w:r>
      <w:r w:rsidRPr="00BB2980">
        <w:rPr>
          <w:rFonts w:asciiTheme="minorEastAsia" w:hAnsiTheme="minorEastAsia" w:hint="eastAsia"/>
          <w:sz w:val="24"/>
        </w:rPr>
        <w:t>アクセスしてください。</w:t>
      </w:r>
    </w:p>
    <w:p w:rsidR="000A6F2C" w:rsidRPr="000A6F2C" w:rsidRDefault="004447A5" w:rsidP="00393DA4">
      <w:pPr>
        <w:ind w:leftChars="100" w:left="227"/>
        <w:rPr>
          <w:rFonts w:asciiTheme="minorEastAsia" w:hAnsiTheme="minorEastAsia"/>
          <w:sz w:val="22"/>
        </w:rPr>
      </w:pPr>
      <w:r w:rsidRPr="004447A5">
        <w:rPr>
          <w:rFonts w:asciiTheme="minorEastAsia" w:hAnsiTheme="minorEastAsia"/>
          <w:sz w:val="22"/>
        </w:rPr>
        <w:drawing>
          <wp:inline distT="0" distB="0" distL="0" distR="0">
            <wp:extent cx="5505450" cy="914400"/>
            <wp:effectExtent l="0" t="0" r="0" b="0"/>
            <wp:docPr id="6" name="オブジェクト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05500" cy="1019175"/>
                      <a:chOff x="0" y="0"/>
                      <a:chExt cx="5905500" cy="1019175"/>
                    </a:xfrm>
                  </a:grpSpPr>
                  <a:grpSp>
                    <a:nvGrpSpPr>
                      <a:cNvPr id="6" name="グループ化 5"/>
                      <a:cNvGrpSpPr/>
                    </a:nvGrpSpPr>
                    <a:grpSpPr>
                      <a:xfrm>
                        <a:off x="0" y="0"/>
                        <a:ext cx="5905500" cy="1019175"/>
                        <a:chOff x="0" y="0"/>
                        <a:chExt cx="5905500" cy="1019175"/>
                      </a:xfrm>
                    </a:grpSpPr>
                    <a:sp>
                      <a:nvSpPr>
                        <a:cNvPr id="2" name="テキスト ボックス 1"/>
                        <a:cNvSpPr txBox="1"/>
                      </a:nvSpPr>
                      <a:spPr>
                        <a:xfrm>
                          <a:off x="0" y="19050"/>
                          <a:ext cx="5905500" cy="100012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kumimoji="1" lang="en-US" altLang="ja-JP" sz="1800">
                              <a:latin typeface="HGS明朝E" pitchFamily="18" charset="-128"/>
                              <a:ea typeface="HGS明朝E" pitchFamily="18" charset="-128"/>
                            </a:endParaRPr>
                          </a:p>
                          <a:p>
                            <a:r>
                              <a:rPr kumimoji="1" lang="en-US" altLang="ja-JP" sz="1800">
                                <a:latin typeface="HGS明朝E" pitchFamily="18" charset="-128"/>
                                <a:ea typeface="HGS明朝E" pitchFamily="18" charset="-128"/>
                              </a:rPr>
                              <a:t>URL</a:t>
                            </a:r>
                            <a:r>
                              <a:rPr kumimoji="1" lang="ja-JP" altLang="en-US" sz="1800">
                                <a:latin typeface="HGS明朝E" pitchFamily="18" charset="-128"/>
                                <a:ea typeface="HGS明朝E" pitchFamily="18" charset="-128"/>
                              </a:rPr>
                              <a:t>＝　</a:t>
                            </a:r>
                            <a:r>
                              <a:rPr kumimoji="1" lang="en-US" altLang="ja-JP" sz="1800">
                                <a:latin typeface="HGS明朝E" pitchFamily="18" charset="-128"/>
                                <a:ea typeface="HGS明朝E" pitchFamily="18" charset="-128"/>
                              </a:rPr>
                              <a:t>http://partner.lec-jp.com/ti/36/04/</a:t>
                            </a:r>
                            <a:endParaRPr kumimoji="1" lang="ja-JP" altLang="en-US" sz="1800">
                              <a:latin typeface="HGS明朝E" pitchFamily="18" charset="-128"/>
                              <a:ea typeface="HGS明朝E" pitchFamily="18" charset="-128"/>
                            </a:endParaRPr>
                          </a:p>
                        </a:txBody>
                        <a:useSpRect/>
                      </a:txSp>
                      <a:style>
                        <a:lnRef idx="0">
                          <a:scrgbClr r="0" g="0" b="0"/>
                        </a:lnRef>
                        <a:fillRef idx="0">
                          <a:scrgbClr r="0" g="0" b="0"/>
                        </a:fillRef>
                        <a:effectRef idx="0">
                          <a:scrgbClr r="0" g="0" b="0"/>
                        </a:effectRef>
                        <a:fontRef idx="minor">
                          <a:schemeClr val="dk1"/>
                        </a:fontRef>
                      </a:style>
                    </a:sp>
                    <a:sp>
                      <a:nvSpPr>
                        <a:cNvPr id="3" name="テキスト ボックス 2"/>
                        <a:cNvSpPr txBox="1"/>
                      </a:nvSpPr>
                      <a:spPr>
                        <a:xfrm>
                          <a:off x="4953000" y="0"/>
                          <a:ext cx="866775" cy="257175"/>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altLang="ja-JP" sz="1100">
                                <a:solidFill>
                                  <a:schemeClr val="dk1"/>
                                </a:solidFill>
                                <a:latin typeface="HGS明朝E" pitchFamily="18" charset="-128"/>
                                <a:ea typeface="HGS明朝E" pitchFamily="18" charset="-128"/>
                                <a:cs typeface="+mn-cs"/>
                              </a:rPr>
                              <a:t>QR</a:t>
                            </a:r>
                            <a:r>
                              <a:rPr lang="ja-JP" altLang="ja-JP" sz="1100">
                                <a:solidFill>
                                  <a:schemeClr val="dk1"/>
                                </a:solidFill>
                                <a:latin typeface="HGS明朝E" pitchFamily="18" charset="-128"/>
                                <a:ea typeface="HGS明朝E" pitchFamily="18" charset="-128"/>
                                <a:cs typeface="+mn-cs"/>
                              </a:rPr>
                              <a:t>コード</a:t>
                            </a:r>
                            <a:endParaRPr kumimoji="1" lang="ja-JP" altLang="en-US" sz="1100">
                              <a:latin typeface="HGS明朝E" pitchFamily="18" charset="-128"/>
                              <a:ea typeface="HGS明朝E" pitchFamily="18" charset="-128"/>
                            </a:endParaRPr>
                          </a:p>
                        </a:txBody>
                        <a:useSpRect/>
                      </a:txSp>
                      <a:style>
                        <a:lnRef idx="0">
                          <a:scrgbClr r="0" g="0" b="0"/>
                        </a:lnRef>
                        <a:fillRef idx="0">
                          <a:scrgbClr r="0" g="0" b="0"/>
                        </a:fillRef>
                        <a:effectRef idx="0">
                          <a:scrgbClr r="0" g="0" b="0"/>
                        </a:effectRef>
                        <a:fontRef idx="minor">
                          <a:schemeClr val="dk1"/>
                        </a:fontRef>
                      </a:style>
                    </a:sp>
                    <a:pic>
                      <a:nvPicPr>
                        <a:cNvPr id="4098" name="Picture 2"/>
                        <a:cNvPicPr>
                          <a:picLocks noChangeAspect="1" noChangeArrowheads="1"/>
                        </a:cNvPicPr>
                      </a:nvPicPr>
                      <a:blipFill>
                        <a:blip r:embed="rId7" cstate="print"/>
                        <a:srcRect/>
                        <a:stretch>
                          <a:fillRect/>
                        </a:stretch>
                      </a:blipFill>
                      <a:spPr bwMode="auto">
                        <a:xfrm>
                          <a:off x="4991100" y="228600"/>
                          <a:ext cx="742950" cy="742950"/>
                        </a:xfrm>
                        <a:prstGeom prst="rect">
                          <a:avLst/>
                        </a:prstGeom>
                        <a:noFill/>
                      </a:spPr>
                    </a:pic>
                  </a:grpSp>
                </lc:lockedCanvas>
              </a:graphicData>
            </a:graphic>
          </wp:inline>
        </w:drawing>
      </w:r>
    </w:p>
    <w:p w:rsidR="00CA2354" w:rsidRPr="00BB2980" w:rsidRDefault="00CA2354" w:rsidP="00CA2354">
      <w:pPr>
        <w:rPr>
          <w:rFonts w:asciiTheme="minorEastAsia" w:hAnsiTheme="minorEastAsia"/>
          <w:sz w:val="24"/>
        </w:rPr>
      </w:pPr>
      <w:r w:rsidRPr="00BB2980">
        <w:rPr>
          <w:rFonts w:asciiTheme="minorEastAsia" w:hAnsiTheme="minorEastAsia" w:hint="eastAsia"/>
          <w:sz w:val="24"/>
        </w:rPr>
        <w:t>【ログインＩＤ＆パスワード】</w:t>
      </w:r>
    </w:p>
    <w:p w:rsidR="003C068A" w:rsidRPr="000A6F2C" w:rsidRDefault="000A6F2C" w:rsidP="000A6F2C">
      <w:pPr>
        <w:ind w:firstLineChars="200" w:firstLine="674"/>
        <w:rPr>
          <w:rFonts w:asciiTheme="majorEastAsia" w:eastAsiaTheme="majorEastAsia" w:hAnsiTheme="majorEastAsia"/>
          <w:sz w:val="32"/>
          <w:szCs w:val="32"/>
        </w:rPr>
      </w:pPr>
      <w:r w:rsidRPr="000A6F2C">
        <w:rPr>
          <w:rFonts w:asciiTheme="majorEastAsia" w:eastAsiaTheme="majorEastAsia" w:hAnsiTheme="majorEastAsia" w:hint="eastAsia"/>
          <w:sz w:val="32"/>
          <w:szCs w:val="32"/>
        </w:rPr>
        <w:t>ＩＤ：</w:t>
      </w:r>
      <w:r w:rsidR="009F54DF" w:rsidRPr="000A6F2C">
        <w:rPr>
          <w:rFonts w:asciiTheme="majorEastAsia" w:eastAsiaTheme="majorEastAsia" w:hAnsiTheme="majorEastAsia" w:hint="eastAsia"/>
          <w:sz w:val="32"/>
          <w:szCs w:val="32"/>
        </w:rPr>
        <w:t>3LEC600</w:t>
      </w:r>
      <w:r w:rsidR="004447A5">
        <w:rPr>
          <w:rFonts w:asciiTheme="majorEastAsia" w:eastAsiaTheme="majorEastAsia" w:hAnsiTheme="majorEastAsia" w:hint="eastAsia"/>
          <w:sz w:val="32"/>
          <w:szCs w:val="32"/>
        </w:rPr>
        <w:t>4</w:t>
      </w:r>
      <w:r w:rsidR="00CA2354" w:rsidRPr="000A6F2C">
        <w:rPr>
          <w:rFonts w:asciiTheme="majorEastAsia" w:eastAsiaTheme="majorEastAsia" w:hAnsiTheme="majorEastAsia" w:hint="eastAsia"/>
          <w:sz w:val="32"/>
          <w:szCs w:val="32"/>
        </w:rPr>
        <w:t xml:space="preserve">　　</w:t>
      </w:r>
      <w:r w:rsidRPr="000A6F2C">
        <w:rPr>
          <w:rFonts w:asciiTheme="majorEastAsia" w:eastAsiaTheme="majorEastAsia" w:hAnsiTheme="majorEastAsia" w:hint="eastAsia"/>
          <w:sz w:val="32"/>
          <w:szCs w:val="32"/>
        </w:rPr>
        <w:t>パスワード：</w:t>
      </w:r>
      <w:r w:rsidR="009F54DF" w:rsidRPr="000A6F2C">
        <w:rPr>
          <w:rFonts w:asciiTheme="majorEastAsia" w:eastAsiaTheme="majorEastAsia" w:hAnsiTheme="majorEastAsia" w:hint="eastAsia"/>
          <w:sz w:val="32"/>
          <w:szCs w:val="32"/>
        </w:rPr>
        <w:t>ht</w:t>
      </w:r>
      <w:r w:rsidR="00333235" w:rsidRPr="000A6F2C">
        <w:rPr>
          <w:rFonts w:asciiTheme="majorEastAsia" w:eastAsiaTheme="majorEastAsia" w:hAnsiTheme="majorEastAsia" w:hint="eastAsia"/>
          <w:sz w:val="32"/>
          <w:szCs w:val="32"/>
        </w:rPr>
        <w:t>k</w:t>
      </w:r>
      <w:r w:rsidR="009F54DF" w:rsidRPr="000A6F2C">
        <w:rPr>
          <w:rFonts w:asciiTheme="majorEastAsia" w:eastAsiaTheme="majorEastAsia" w:hAnsiTheme="majorEastAsia" w:hint="eastAsia"/>
          <w:sz w:val="32"/>
          <w:szCs w:val="32"/>
        </w:rPr>
        <w:t>11</w:t>
      </w:r>
      <w:r w:rsidR="00333235" w:rsidRPr="000A6F2C">
        <w:rPr>
          <w:rFonts w:asciiTheme="majorEastAsia" w:eastAsiaTheme="majorEastAsia" w:hAnsiTheme="majorEastAsia" w:hint="eastAsia"/>
          <w:sz w:val="32"/>
          <w:szCs w:val="32"/>
        </w:rPr>
        <w:t>8</w:t>
      </w:r>
      <w:r w:rsidR="009F54DF" w:rsidRPr="000A6F2C">
        <w:rPr>
          <w:rFonts w:asciiTheme="majorEastAsia" w:eastAsiaTheme="majorEastAsia" w:hAnsiTheme="majorEastAsia" w:hint="eastAsia"/>
          <w:sz w:val="32"/>
          <w:szCs w:val="32"/>
        </w:rPr>
        <w:t>74</w:t>
      </w:r>
    </w:p>
    <w:p w:rsidR="00CD0B77" w:rsidRDefault="00217393" w:rsidP="00217393">
      <w:pPr>
        <w:ind w:firstLineChars="200" w:firstLine="474"/>
        <w:rPr>
          <w:rFonts w:asciiTheme="minorEastAsia" w:hAnsiTheme="minorEastAsia" w:hint="eastAsia"/>
          <w:sz w:val="22"/>
        </w:rPr>
      </w:pPr>
      <w:r>
        <w:rPr>
          <w:rFonts w:asciiTheme="minorEastAsia" w:hAnsiTheme="minorEastAsia" w:hint="eastAsia"/>
          <w:sz w:val="22"/>
        </w:rPr>
        <w:t>※</w:t>
      </w:r>
      <w:r w:rsidRPr="00217393">
        <w:rPr>
          <w:rFonts w:asciiTheme="minorEastAsia" w:hAnsiTheme="minorEastAsia" w:hint="eastAsia"/>
          <w:sz w:val="22"/>
        </w:rPr>
        <w:t>ログイン後、企業番号の欄には</w:t>
      </w:r>
      <w:r w:rsidR="009A10EF">
        <w:rPr>
          <w:rFonts w:asciiTheme="minorEastAsia" w:hAnsiTheme="minorEastAsia" w:hint="eastAsia"/>
          <w:sz w:val="22"/>
        </w:rPr>
        <w:t>「</w:t>
      </w:r>
      <w:r w:rsidRPr="009A10EF">
        <w:rPr>
          <w:rFonts w:asciiTheme="minorEastAsia" w:hAnsiTheme="minorEastAsia" w:hint="eastAsia"/>
          <w:b/>
          <w:sz w:val="22"/>
        </w:rPr>
        <w:t>団体</w:t>
      </w:r>
      <w:r w:rsidR="009A10EF">
        <w:rPr>
          <w:rFonts w:asciiTheme="minorEastAsia" w:hAnsiTheme="minorEastAsia" w:hint="eastAsia"/>
          <w:sz w:val="22"/>
        </w:rPr>
        <w:t>」</w:t>
      </w:r>
      <w:r>
        <w:rPr>
          <w:rFonts w:asciiTheme="minorEastAsia" w:hAnsiTheme="minorEastAsia" w:hint="eastAsia"/>
          <w:sz w:val="22"/>
        </w:rPr>
        <w:t>とご</w:t>
      </w:r>
      <w:r w:rsidRPr="00217393">
        <w:rPr>
          <w:rFonts w:asciiTheme="minorEastAsia" w:hAnsiTheme="minorEastAsia" w:hint="eastAsia"/>
          <w:sz w:val="22"/>
        </w:rPr>
        <w:t>記入をお願いいたします。</w:t>
      </w:r>
    </w:p>
    <w:p w:rsidR="009A10EF" w:rsidRPr="00217393" w:rsidRDefault="009A10EF" w:rsidP="00217393">
      <w:pPr>
        <w:ind w:firstLineChars="200" w:firstLine="474"/>
        <w:rPr>
          <w:rFonts w:asciiTheme="minorEastAsia" w:hAnsiTheme="minorEastAsia"/>
          <w:sz w:val="22"/>
        </w:rPr>
      </w:pPr>
    </w:p>
    <w:p w:rsidR="00CD3217" w:rsidRPr="00BB2980" w:rsidRDefault="00CD3217" w:rsidP="00CD3217">
      <w:pPr>
        <w:ind w:firstLineChars="100" w:firstLine="257"/>
        <w:rPr>
          <w:rFonts w:asciiTheme="minorEastAsia" w:hAnsiTheme="minorEastAsia"/>
          <w:szCs w:val="20"/>
        </w:rPr>
      </w:pPr>
      <w:r w:rsidRPr="00BB2980">
        <w:rPr>
          <w:rFonts w:asciiTheme="minorEastAsia" w:hAnsiTheme="minorEastAsia" w:hint="eastAsia"/>
          <w:sz w:val="24"/>
        </w:rPr>
        <w:t>【ご質問・お問合せ先】</w:t>
      </w:r>
    </w:p>
    <w:p w:rsidR="00CD3217" w:rsidRPr="00BB2980" w:rsidRDefault="00CD3217" w:rsidP="00CD3217">
      <w:pPr>
        <w:ind w:leftChars="100" w:left="227" w:firstLineChars="100" w:firstLine="257"/>
        <w:rPr>
          <w:rFonts w:asciiTheme="minorEastAsia" w:hAnsiTheme="minorEastAsia"/>
          <w:sz w:val="24"/>
        </w:rPr>
      </w:pPr>
      <w:r w:rsidRPr="00BB2980">
        <w:rPr>
          <w:rFonts w:asciiTheme="minorEastAsia" w:hAnsiTheme="minorEastAsia" w:hint="eastAsia"/>
          <w:sz w:val="24"/>
        </w:rPr>
        <w:t>東京リーガルマインド　公共事業本部　働き方改革関連法に関する説明会事務局</w:t>
      </w:r>
    </w:p>
    <w:p w:rsidR="00B421A4" w:rsidRPr="00FA4C32" w:rsidRDefault="000A6F2C" w:rsidP="0061247F">
      <w:pPr>
        <w:ind w:leftChars="100" w:left="227" w:firstLineChars="100" w:firstLine="257"/>
      </w:pPr>
      <w:r w:rsidRPr="00BB2980">
        <w:rPr>
          <w:rFonts w:asciiTheme="minorEastAsia" w:hAnsiTheme="minorEastAsia" w:hint="eastAsia"/>
          <w:sz w:val="24"/>
        </w:rPr>
        <w:t>ＴＥＬ：0800-222-3029</w:t>
      </w:r>
      <w:r w:rsidR="00B50C7D" w:rsidRPr="00BB2980">
        <w:rPr>
          <w:rFonts w:asciiTheme="minorEastAsia" w:hAnsiTheme="minorEastAsia" w:hint="eastAsia"/>
          <w:sz w:val="24"/>
        </w:rPr>
        <w:t>（フリーダイヤル）</w:t>
      </w:r>
      <w:r w:rsidR="00F33E24" w:rsidRPr="000A6F2C">
        <w:rPr>
          <w:rFonts w:asciiTheme="minorEastAsia" w:hAnsiTheme="minorEastAsia" w:hint="eastAsia"/>
          <w:sz w:val="22"/>
        </w:rPr>
        <w:t xml:space="preserve">　　　</w:t>
      </w:r>
      <w:r w:rsidR="00F33E24">
        <w:rPr>
          <w:rFonts w:ascii="HG丸ｺﾞｼｯｸM-PRO" w:eastAsia="HG丸ｺﾞｼｯｸM-PRO" w:hAnsi="HG丸ｺﾞｼｯｸM-PRO" w:hint="eastAsia"/>
          <w:sz w:val="22"/>
        </w:rPr>
        <w:t xml:space="preserve">　　　　　</w:t>
      </w:r>
      <w:r w:rsidR="009E4C03">
        <w:rPr>
          <w:rFonts w:ascii="HG丸ｺﾞｼｯｸM-PRO" w:eastAsia="HG丸ｺﾞｼｯｸM-PRO" w:hAnsi="HG丸ｺﾞｼｯｸM-PRO" w:hint="eastAsia"/>
          <w:sz w:val="22"/>
        </w:rPr>
        <w:t xml:space="preserve">　　　　　　　　　　　　　</w:t>
      </w:r>
    </w:p>
    <w:sectPr w:rsidR="00B421A4" w:rsidRPr="00FA4C32" w:rsidSect="009E4C03">
      <w:pgSz w:w="11906" w:h="16838" w:code="9"/>
      <w:pgMar w:top="567" w:right="851" w:bottom="284" w:left="851" w:header="851" w:footer="992" w:gutter="0"/>
      <w:cols w:space="425"/>
      <w:docGrid w:type="linesAndChars" w:linePitch="371" w:charSpace="34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EF" w:rsidRDefault="009A10EF"/>
  </w:endnote>
  <w:endnote w:type="continuationSeparator" w:id="0">
    <w:p w:rsidR="009A10EF" w:rsidRDefault="009A10EF"/>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EF" w:rsidRDefault="009A10EF"/>
  </w:footnote>
  <w:footnote w:type="continuationSeparator" w:id="0">
    <w:p w:rsidR="009A10EF" w:rsidRDefault="009A10E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371"/>
  <w:displayHorizontalDrawingGridEvery w:val="0"/>
  <w:characterSpacingControl w:val="compressPunctuation"/>
  <w:hdrShapeDefaults>
    <o:shapedefaults v:ext="edit" spidmax="94209">
      <v:textbox inset="5.85pt,.7pt,5.85pt,.7pt"/>
      <o:colormenu v:ext="edit" fillcolor="none"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837"/>
    <w:rsid w:val="0004336C"/>
    <w:rsid w:val="00056569"/>
    <w:rsid w:val="000A6F2C"/>
    <w:rsid w:val="000C0993"/>
    <w:rsid w:val="000E57F5"/>
    <w:rsid w:val="000E7B5D"/>
    <w:rsid w:val="00115A8B"/>
    <w:rsid w:val="00135420"/>
    <w:rsid w:val="00140803"/>
    <w:rsid w:val="0018132A"/>
    <w:rsid w:val="00187FF2"/>
    <w:rsid w:val="001C2C62"/>
    <w:rsid w:val="001D1F5B"/>
    <w:rsid w:val="001D3242"/>
    <w:rsid w:val="001E2A48"/>
    <w:rsid w:val="00202A04"/>
    <w:rsid w:val="00213173"/>
    <w:rsid w:val="00217393"/>
    <w:rsid w:val="00243E9B"/>
    <w:rsid w:val="0024789F"/>
    <w:rsid w:val="002915CD"/>
    <w:rsid w:val="002A68D5"/>
    <w:rsid w:val="002E1C5F"/>
    <w:rsid w:val="002E6E20"/>
    <w:rsid w:val="002F01FF"/>
    <w:rsid w:val="0030732E"/>
    <w:rsid w:val="00333235"/>
    <w:rsid w:val="003440D4"/>
    <w:rsid w:val="00392E22"/>
    <w:rsid w:val="00393DA4"/>
    <w:rsid w:val="00396F2B"/>
    <w:rsid w:val="003B70AA"/>
    <w:rsid w:val="003C068A"/>
    <w:rsid w:val="003C4811"/>
    <w:rsid w:val="003C4869"/>
    <w:rsid w:val="003D30A4"/>
    <w:rsid w:val="003E491F"/>
    <w:rsid w:val="003F7506"/>
    <w:rsid w:val="00401B70"/>
    <w:rsid w:val="004447A5"/>
    <w:rsid w:val="00444DCE"/>
    <w:rsid w:val="00455838"/>
    <w:rsid w:val="00464CA7"/>
    <w:rsid w:val="004A4A33"/>
    <w:rsid w:val="004C5DA5"/>
    <w:rsid w:val="004C6D75"/>
    <w:rsid w:val="004F0E8C"/>
    <w:rsid w:val="00536C25"/>
    <w:rsid w:val="00546210"/>
    <w:rsid w:val="00574D8B"/>
    <w:rsid w:val="005924E8"/>
    <w:rsid w:val="005943AE"/>
    <w:rsid w:val="005966FF"/>
    <w:rsid w:val="005A7D01"/>
    <w:rsid w:val="005B2EE4"/>
    <w:rsid w:val="005B5E70"/>
    <w:rsid w:val="005C458B"/>
    <w:rsid w:val="005E1BE9"/>
    <w:rsid w:val="005E7E10"/>
    <w:rsid w:val="005F65B2"/>
    <w:rsid w:val="006029DB"/>
    <w:rsid w:val="00605C0B"/>
    <w:rsid w:val="0061247F"/>
    <w:rsid w:val="006357B8"/>
    <w:rsid w:val="006363CD"/>
    <w:rsid w:val="006A21C7"/>
    <w:rsid w:val="006B20CD"/>
    <w:rsid w:val="006B3420"/>
    <w:rsid w:val="006C75C8"/>
    <w:rsid w:val="006D188F"/>
    <w:rsid w:val="006D4F97"/>
    <w:rsid w:val="006F0ABB"/>
    <w:rsid w:val="007266CF"/>
    <w:rsid w:val="007549E5"/>
    <w:rsid w:val="00785579"/>
    <w:rsid w:val="007A3837"/>
    <w:rsid w:val="007C64A9"/>
    <w:rsid w:val="007D4577"/>
    <w:rsid w:val="007D747B"/>
    <w:rsid w:val="0080337B"/>
    <w:rsid w:val="00816DCE"/>
    <w:rsid w:val="00835457"/>
    <w:rsid w:val="00850A28"/>
    <w:rsid w:val="008926A2"/>
    <w:rsid w:val="0089385F"/>
    <w:rsid w:val="008C14DA"/>
    <w:rsid w:val="008C3180"/>
    <w:rsid w:val="009469EE"/>
    <w:rsid w:val="00970724"/>
    <w:rsid w:val="009977F9"/>
    <w:rsid w:val="009A10EF"/>
    <w:rsid w:val="009D788B"/>
    <w:rsid w:val="009E4C03"/>
    <w:rsid w:val="009F0184"/>
    <w:rsid w:val="009F3257"/>
    <w:rsid w:val="009F54DF"/>
    <w:rsid w:val="00A41B28"/>
    <w:rsid w:val="00A7502E"/>
    <w:rsid w:val="00A85069"/>
    <w:rsid w:val="00A86D83"/>
    <w:rsid w:val="00A9521E"/>
    <w:rsid w:val="00AB7A0E"/>
    <w:rsid w:val="00AC1A26"/>
    <w:rsid w:val="00AC1DC6"/>
    <w:rsid w:val="00AD535D"/>
    <w:rsid w:val="00B00BE9"/>
    <w:rsid w:val="00B421A4"/>
    <w:rsid w:val="00B50C7D"/>
    <w:rsid w:val="00B5187C"/>
    <w:rsid w:val="00B53A7B"/>
    <w:rsid w:val="00B7669E"/>
    <w:rsid w:val="00B816E5"/>
    <w:rsid w:val="00B924CE"/>
    <w:rsid w:val="00BB2980"/>
    <w:rsid w:val="00BC3BFF"/>
    <w:rsid w:val="00C2649B"/>
    <w:rsid w:val="00C509E1"/>
    <w:rsid w:val="00C57EF0"/>
    <w:rsid w:val="00C65889"/>
    <w:rsid w:val="00C7479D"/>
    <w:rsid w:val="00C94467"/>
    <w:rsid w:val="00CA2354"/>
    <w:rsid w:val="00CB5AA0"/>
    <w:rsid w:val="00CD0B77"/>
    <w:rsid w:val="00CD3217"/>
    <w:rsid w:val="00CF450B"/>
    <w:rsid w:val="00D27014"/>
    <w:rsid w:val="00D31A67"/>
    <w:rsid w:val="00D528C9"/>
    <w:rsid w:val="00D557BB"/>
    <w:rsid w:val="00D62FD5"/>
    <w:rsid w:val="00D7082A"/>
    <w:rsid w:val="00D75DAA"/>
    <w:rsid w:val="00DA3780"/>
    <w:rsid w:val="00DB087A"/>
    <w:rsid w:val="00DF14D2"/>
    <w:rsid w:val="00DF23B2"/>
    <w:rsid w:val="00E35362"/>
    <w:rsid w:val="00E40103"/>
    <w:rsid w:val="00E52D62"/>
    <w:rsid w:val="00E828E2"/>
    <w:rsid w:val="00E91BE7"/>
    <w:rsid w:val="00EB75AF"/>
    <w:rsid w:val="00EC3C8B"/>
    <w:rsid w:val="00EE0CF7"/>
    <w:rsid w:val="00EF4365"/>
    <w:rsid w:val="00F24C6D"/>
    <w:rsid w:val="00F33E24"/>
    <w:rsid w:val="00F53BF0"/>
    <w:rsid w:val="00FA4C32"/>
    <w:rsid w:val="00FC26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D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DA5"/>
    <w:rPr>
      <w:rFonts w:asciiTheme="majorHAnsi" w:eastAsiaTheme="majorEastAsia" w:hAnsiTheme="majorHAnsi" w:cstheme="majorBidi"/>
      <w:sz w:val="18"/>
      <w:szCs w:val="18"/>
    </w:rPr>
  </w:style>
  <w:style w:type="paragraph" w:styleId="a5">
    <w:name w:val="header"/>
    <w:basedOn w:val="a"/>
    <w:link w:val="a6"/>
    <w:uiPriority w:val="99"/>
    <w:unhideWhenUsed/>
    <w:rsid w:val="00785579"/>
    <w:pPr>
      <w:tabs>
        <w:tab w:val="center" w:pos="4252"/>
        <w:tab w:val="right" w:pos="8504"/>
      </w:tabs>
      <w:snapToGrid w:val="0"/>
    </w:pPr>
  </w:style>
  <w:style w:type="character" w:customStyle="1" w:styleId="a6">
    <w:name w:val="ヘッダー (文字)"/>
    <w:basedOn w:val="a0"/>
    <w:link w:val="a5"/>
    <w:uiPriority w:val="99"/>
    <w:rsid w:val="00785579"/>
  </w:style>
  <w:style w:type="paragraph" w:styleId="a7">
    <w:name w:val="footer"/>
    <w:basedOn w:val="a"/>
    <w:link w:val="a8"/>
    <w:uiPriority w:val="99"/>
    <w:unhideWhenUsed/>
    <w:rsid w:val="00785579"/>
    <w:pPr>
      <w:tabs>
        <w:tab w:val="center" w:pos="4252"/>
        <w:tab w:val="right" w:pos="8504"/>
      </w:tabs>
      <w:snapToGrid w:val="0"/>
    </w:pPr>
  </w:style>
  <w:style w:type="character" w:customStyle="1" w:styleId="a8">
    <w:name w:val="フッター (文字)"/>
    <w:basedOn w:val="a0"/>
    <w:link w:val="a7"/>
    <w:uiPriority w:val="99"/>
    <w:rsid w:val="00785579"/>
  </w:style>
  <w:style w:type="character" w:styleId="a9">
    <w:name w:val="Hyperlink"/>
    <w:basedOn w:val="a0"/>
    <w:uiPriority w:val="99"/>
    <w:unhideWhenUsed/>
    <w:rsid w:val="00393DA4"/>
    <w:rPr>
      <w:color w:val="0563C1" w:themeColor="hyperlink"/>
      <w:u w:val="single"/>
    </w:rPr>
  </w:style>
  <w:style w:type="paragraph" w:styleId="aa">
    <w:name w:val="Closing"/>
    <w:basedOn w:val="a"/>
    <w:link w:val="ab"/>
    <w:uiPriority w:val="99"/>
    <w:unhideWhenUsed/>
    <w:rsid w:val="00B421A4"/>
    <w:pPr>
      <w:jc w:val="right"/>
    </w:pPr>
    <w:rPr>
      <w:rFonts w:ascii="HG丸ｺﾞｼｯｸM-PRO" w:eastAsia="HG丸ｺﾞｼｯｸM-PRO" w:hAnsi="HG丸ｺﾞｼｯｸM-PRO"/>
      <w:sz w:val="22"/>
    </w:rPr>
  </w:style>
  <w:style w:type="character" w:customStyle="1" w:styleId="ab">
    <w:name w:val="結語 (文字)"/>
    <w:basedOn w:val="a0"/>
    <w:link w:val="aa"/>
    <w:uiPriority w:val="99"/>
    <w:rsid w:val="00B421A4"/>
    <w:rPr>
      <w:rFonts w:ascii="HG丸ｺﾞｼｯｸM-PRO" w:eastAsia="HG丸ｺﾞｼｯｸM-PRO" w:hAnsi="HG丸ｺﾞｼｯｸM-PRO"/>
      <w:sz w:val="22"/>
    </w:rPr>
  </w:style>
  <w:style w:type="paragraph" w:styleId="Web">
    <w:name w:val="Normal (Web)"/>
    <w:basedOn w:val="a"/>
    <w:uiPriority w:val="99"/>
    <w:semiHidden/>
    <w:unhideWhenUsed/>
    <w:rsid w:val="000A6F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646468525">
      <w:bodyDiv w:val="1"/>
      <w:marLeft w:val="0"/>
      <w:marRight w:val="0"/>
      <w:marTop w:val="0"/>
      <w:marBottom w:val="0"/>
      <w:divBdr>
        <w:top w:val="none" w:sz="0" w:space="0" w:color="auto"/>
        <w:left w:val="none" w:sz="0" w:space="0" w:color="auto"/>
        <w:bottom w:val="none" w:sz="0" w:space="0" w:color="auto"/>
        <w:right w:val="none" w:sz="0" w:space="0" w:color="auto"/>
      </w:divBdr>
      <w:divsChild>
        <w:div w:id="1951815305">
          <w:marLeft w:val="0"/>
          <w:marRight w:val="0"/>
          <w:marTop w:val="0"/>
          <w:marBottom w:val="0"/>
          <w:divBdr>
            <w:top w:val="none" w:sz="0" w:space="0" w:color="auto"/>
            <w:left w:val="none" w:sz="0" w:space="0" w:color="auto"/>
            <w:bottom w:val="none" w:sz="0" w:space="0" w:color="auto"/>
            <w:right w:val="none" w:sz="0" w:space="0" w:color="auto"/>
          </w:divBdr>
          <w:divsChild>
            <w:div w:id="13779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338C-1F17-4326-886C-D1D88701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zenkiren</dc:creator>
  <cp:lastModifiedBy>LEC</cp:lastModifiedBy>
  <cp:revision>2</cp:revision>
  <cp:lastPrinted>2018-12-17T05:33:00Z</cp:lastPrinted>
  <dcterms:created xsi:type="dcterms:W3CDTF">2018-12-19T03:14:00Z</dcterms:created>
  <dcterms:modified xsi:type="dcterms:W3CDTF">2018-12-19T03:14:00Z</dcterms:modified>
</cp:coreProperties>
</file>