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C3D4D" w14:textId="746FA020" w:rsidR="00B6025B" w:rsidRPr="00154527" w:rsidRDefault="00D957DD"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B6025B"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068B0F56" w:rsidR="00B6025B" w:rsidRPr="00154527" w:rsidRDefault="00DC2EEF"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2316DD80"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B2501">
        <w:rPr>
          <w:rFonts w:ascii="ＭＳ 明朝" w:hAnsi="ＭＳ 明朝" w:cs="ＭＳ 明朝" w:hint="eastAsia"/>
          <w:kern w:val="0"/>
          <w:sz w:val="22"/>
          <w:szCs w:val="22"/>
        </w:rPr>
        <w:t>６</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3625024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B12BC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年３月３１日</w:t>
            </w:r>
          </w:p>
          <w:p w14:paraId="3648083D" w14:textId="6847C37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７</w:t>
            </w:r>
            <w:r w:rsidRPr="00AB16DF">
              <w:rPr>
                <w:rFonts w:ascii="ＭＳ 明朝" w:hAnsi="ＭＳ 明朝" w:hint="eastAsia"/>
                <w:sz w:val="20"/>
                <w:szCs w:val="20"/>
              </w:rPr>
              <w:t>年４月１日～令和</w:t>
            </w:r>
            <w:r w:rsidR="00B12BCE">
              <w:rPr>
                <w:rFonts w:ascii="ＭＳ 明朝" w:hAnsi="ＭＳ 明朝" w:hint="eastAsia"/>
                <w:sz w:val="20"/>
                <w:szCs w:val="20"/>
              </w:rPr>
              <w:t>８</w:t>
            </w:r>
            <w:r w:rsidRPr="00AB16DF">
              <w:rPr>
                <w:rFonts w:ascii="ＭＳ 明朝" w:hAnsi="ＭＳ 明朝" w:hint="eastAsia"/>
                <w:sz w:val="20"/>
                <w:szCs w:val="20"/>
              </w:rPr>
              <w:t>年３月３１日）</w:t>
            </w:r>
          </w:p>
          <w:p w14:paraId="0470EBFF" w14:textId="3F469735"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年３月３１日</w:t>
            </w:r>
          </w:p>
          <w:p w14:paraId="7B1A5553" w14:textId="7C4E9C65"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８</w:t>
            </w:r>
            <w:r w:rsidRPr="00AB16DF">
              <w:rPr>
                <w:rFonts w:ascii="ＭＳ 明朝" w:hAnsi="ＭＳ 明朝" w:hint="eastAsia"/>
                <w:sz w:val="20"/>
                <w:szCs w:val="20"/>
              </w:rPr>
              <w:t>年４月１日～令和</w:t>
            </w:r>
            <w:r w:rsidR="00B12BCE">
              <w:rPr>
                <w:rFonts w:ascii="ＭＳ 明朝" w:hAnsi="ＭＳ 明朝" w:hint="eastAsia"/>
                <w:sz w:val="20"/>
                <w:szCs w:val="20"/>
              </w:rPr>
              <w:t>９</w:t>
            </w:r>
            <w:r w:rsidRPr="00AB16DF">
              <w:rPr>
                <w:rFonts w:ascii="ＭＳ 明朝" w:hAnsi="ＭＳ 明朝" w:hint="eastAsia"/>
                <w:sz w:val="20"/>
                <w:szCs w:val="20"/>
              </w:rPr>
              <w:t>年３月３１日）</w:t>
            </w:r>
          </w:p>
          <w:p w14:paraId="3C483A21" w14:textId="2A2C83E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８</w:t>
            </w:r>
            <w:r w:rsidRPr="00402955">
              <w:rPr>
                <w:rFonts w:ascii="ＭＳ 明朝" w:hAnsi="ＭＳ 明朝" w:hint="eastAsia"/>
                <w:sz w:val="20"/>
                <w:szCs w:val="20"/>
              </w:rPr>
              <w:t>年３月３１日</w:t>
            </w:r>
          </w:p>
          <w:p w14:paraId="39EAC9E6" w14:textId="6AD3F2C6"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12BCE">
              <w:rPr>
                <w:rFonts w:ascii="ＭＳ 明朝" w:hAnsi="ＭＳ 明朝" w:hint="eastAsia"/>
                <w:sz w:val="20"/>
                <w:szCs w:val="20"/>
              </w:rPr>
              <w:t>９</w:t>
            </w:r>
            <w:r w:rsidRPr="00AB16DF">
              <w:rPr>
                <w:rFonts w:ascii="ＭＳ 明朝" w:hAnsi="ＭＳ 明朝" w:hint="eastAsia"/>
                <w:sz w:val="20"/>
                <w:szCs w:val="20"/>
              </w:rPr>
              <w:t>年４月１日～令和</w:t>
            </w:r>
            <w:r w:rsidR="00B12BCE">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1"/>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3"/>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C87AA2">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C87AA2">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BB60FC" w:rsidRPr="00154527">
              <w:rPr>
                <w:rFonts w:ascii="ＭＳ 明朝" w:hAnsi="ＭＳ 明朝" w:hint="eastAsia"/>
                <w:sz w:val="22"/>
                <w:szCs w:val="22"/>
              </w:rPr>
              <w:t>○</w:t>
            </w:r>
            <w:r w:rsidR="0048594C" w:rsidRPr="00154527">
              <w:rPr>
                <w:rFonts w:ascii="ＭＳ 明朝" w:hAnsi="ＭＳ 明朝" w:hint="eastAsia"/>
                <w:sz w:val="22"/>
                <w:szCs w:val="22"/>
              </w:rPr>
              <w:t>中央会の旅費規程を準用すること。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1F8F7360" w:rsidR="003E3F62" w:rsidRPr="00154527" w:rsidRDefault="00C60ED9" w:rsidP="00831713">
      <w:pPr>
        <w:ind w:firstLineChars="100" w:firstLine="220"/>
        <w:rPr>
          <w:rFonts w:ascii="ＭＳ 明朝" w:hAnsi="ＭＳ 明朝"/>
          <w:sz w:val="22"/>
          <w:szCs w:val="22"/>
        </w:rPr>
      </w:pPr>
      <w:r>
        <w:rPr>
          <w:rFonts w:ascii="ＭＳ 明朝" w:hAnsi="ＭＳ 明朝" w:hint="eastAsia"/>
          <w:sz w:val="22"/>
          <w:szCs w:val="22"/>
        </w:rPr>
        <w:t>岐阜県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1FE8EA20" w:rsidR="003E3F62" w:rsidRPr="00154527" w:rsidRDefault="003E3F62" w:rsidP="00C87AA2">
      <w:pPr>
        <w:ind w:rightChars="100" w:right="240"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00247CBD">
        <w:rPr>
          <w:rFonts w:ascii="ＭＳ 明朝" w:hAnsi="ＭＳ 明朝" w:hint="eastAsia"/>
          <w:sz w:val="22"/>
          <w:szCs w:val="22"/>
        </w:rPr>
        <w:t xml:space="preserve">　</w:t>
      </w:r>
      <w:r w:rsidR="00C87AA2">
        <w:rPr>
          <w:rFonts w:ascii="ＭＳ 明朝" w:hAnsi="ＭＳ 明朝" w:hint="eastAsia"/>
          <w:sz w:val="22"/>
          <w:szCs w:val="22"/>
        </w:rPr>
        <w:t xml:space="preserve"> </w:t>
      </w:r>
      <w:r w:rsidRPr="00154527">
        <w:rPr>
          <w:rFonts w:ascii="ＭＳ 明朝" w:hAnsi="ＭＳ 明朝" w:hint="eastAsia"/>
          <w:sz w:val="22"/>
          <w:szCs w:val="22"/>
        </w:rPr>
        <w:t>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5D0E34D8" w:rsidR="003E3F62" w:rsidRPr="00154527" w:rsidRDefault="00406650" w:rsidP="00C87AA2">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C87AA2">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8AF1666" w14:textId="795ECF34" w:rsidR="001A4987" w:rsidRPr="00831713" w:rsidRDefault="00AB239D" w:rsidP="00751262">
      <w:pPr>
        <w:jc w:val="center"/>
        <w:rPr>
          <w:rFonts w:cs="ＭＳ 明朝"/>
          <w:kern w:val="0"/>
          <w:sz w:val="22"/>
          <w:szCs w:val="22"/>
        </w:rPr>
      </w:pPr>
      <w:r w:rsidRPr="00154527">
        <w:rPr>
          <w:rFonts w:ascii="ＭＳ ゴシック" w:eastAsia="ＭＳ ゴシック" w:hAnsi="ＭＳ ゴシック"/>
          <w:sz w:val="22"/>
          <w:szCs w:val="22"/>
        </w:rPr>
        <w:br w:type="page"/>
      </w:r>
    </w:p>
    <w:p w14:paraId="2FFB1B80" w14:textId="77777777" w:rsidR="00AB239D" w:rsidRPr="00831713"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831713" w:rsidSect="00751262">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6C8"/>
    <w:rsid w:val="00065910"/>
    <w:rsid w:val="0006714F"/>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1262"/>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0ED9"/>
    <w:rsid w:val="00C63EB1"/>
    <w:rsid w:val="00C641C8"/>
    <w:rsid w:val="00C65DC7"/>
    <w:rsid w:val="00C666E8"/>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1EF0"/>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2EEF"/>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1082</Words>
  <Characters>6169</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2023-04-10T06:36:00Z</cp:lastPrinted>
  <dcterms:created xsi:type="dcterms:W3CDTF">2024-04-24T02:37:00Z</dcterms:created>
  <dcterms:modified xsi:type="dcterms:W3CDTF">2024-05-02T08:21:00Z</dcterms:modified>
</cp:coreProperties>
</file>